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59" w:rsidRPr="008F7808" w:rsidRDefault="00270E4E" w:rsidP="00BD7D4B">
      <w:pPr>
        <w:spacing w:before="200" w:after="560" w:line="560" w:lineRule="exact"/>
        <w:jc w:val="center"/>
        <w:rPr>
          <w:rFonts w:ascii="宋体" w:eastAsia="宋体" w:hAnsi="宋体" w:cs="宋体"/>
          <w:szCs w:val="21"/>
        </w:rPr>
      </w:pPr>
      <w:r w:rsidRPr="008F7808">
        <w:rPr>
          <w:rFonts w:ascii="宋体" w:eastAsia="宋体" w:hAnsi="宋体" w:cs="宋体"/>
          <w:szCs w:val="21"/>
        </w:rPr>
        <w:t>证券代码：000576                证券简称：甘化科工                公告编号：2025-</w:t>
      </w:r>
      <w:r w:rsidR="00345700" w:rsidRPr="008F7808">
        <w:rPr>
          <w:rFonts w:ascii="宋体" w:eastAsia="宋体" w:hAnsi="宋体" w:cs="宋体"/>
          <w:szCs w:val="21"/>
        </w:rPr>
        <w:t>35</w:t>
      </w:r>
    </w:p>
    <w:p w:rsidR="00BD7D4B" w:rsidRDefault="00270E4E" w:rsidP="00BD7D4B">
      <w:pPr>
        <w:spacing w:after="560" w:line="4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广东甘化科工股份有限公司2025年半年度报告摘要</w:t>
      </w:r>
      <w:bookmarkStart w:id="0" w:name="_Toc988889"/>
    </w:p>
    <w:p w:rsidR="00446D59" w:rsidRDefault="00270E4E" w:rsidP="00BD7D4B">
      <w:pPr>
        <w:pStyle w:val="2"/>
        <w:spacing w:before="300" w:after="300" w:line="320" w:lineRule="exac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一、重要提示</w:t>
      </w:r>
      <w:bookmarkEnd w:id="0"/>
    </w:p>
    <w:p w:rsidR="00446D59" w:rsidRDefault="00270E4E" w:rsidP="00BD7D4B">
      <w:pPr>
        <w:spacing w:before="100" w:after="10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本半年度报告摘要来自半年度报告全文，为全面了解本公司的经营成果、财务状况及未来发展规划，投资者应当到证监会指定媒体仔细阅读半年度报告全文。</w:t>
      </w:r>
    </w:p>
    <w:p w:rsidR="00446D59" w:rsidRDefault="00270E4E" w:rsidP="00BD7D4B">
      <w:pPr>
        <w:spacing w:before="100" w:after="10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所有董事均已出席了审议本报告的董事会会议。</w:t>
      </w:r>
    </w:p>
    <w:p w:rsidR="00446D59" w:rsidRDefault="00270E4E" w:rsidP="00BD7D4B">
      <w:pPr>
        <w:spacing w:before="100" w:after="10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非标准审计意见提示</w:t>
      </w:r>
    </w:p>
    <w:p w:rsidR="00446D59" w:rsidRDefault="00270E4E" w:rsidP="00BD7D4B">
      <w:pPr>
        <w:spacing w:before="100" w:after="10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 xml:space="preserve">□适用 </w:t>
      </w:r>
      <w:r>
        <w:rPr>
          <w:rFonts w:ascii="宋体" w:eastAsia="宋体" w:hAnsi="宋体" w:cs="宋体"/>
          <w:sz w:val="18"/>
          <w:szCs w:val="18"/>
        </w:rPr>
        <w:sym w:font="Wingdings 2" w:char="F052"/>
      </w:r>
      <w:r>
        <w:rPr>
          <w:rFonts w:ascii="宋体" w:eastAsia="宋体" w:hAnsi="宋体" w:cs="宋体"/>
          <w:sz w:val="18"/>
          <w:szCs w:val="18"/>
        </w:rPr>
        <w:t>不适用</w:t>
      </w:r>
    </w:p>
    <w:p w:rsidR="00446D59" w:rsidRDefault="00270E4E" w:rsidP="00BD7D4B">
      <w:pPr>
        <w:spacing w:before="100" w:after="10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董事会审议的报告期利润分配预案或公积金转增股本预案</w:t>
      </w:r>
    </w:p>
    <w:p w:rsidR="00446D59" w:rsidRDefault="00270E4E" w:rsidP="00BD7D4B">
      <w:pPr>
        <w:spacing w:before="100" w:after="10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 xml:space="preserve">□适用 </w:t>
      </w:r>
      <w:r>
        <w:rPr>
          <w:rFonts w:ascii="宋体" w:eastAsia="宋体" w:hAnsi="宋体" w:cs="宋体"/>
          <w:sz w:val="18"/>
          <w:szCs w:val="18"/>
        </w:rPr>
        <w:sym w:font="Wingdings 2" w:char="F052"/>
      </w:r>
      <w:r>
        <w:rPr>
          <w:rFonts w:ascii="宋体" w:eastAsia="宋体" w:hAnsi="宋体" w:cs="宋体"/>
          <w:sz w:val="18"/>
          <w:szCs w:val="18"/>
        </w:rPr>
        <w:t>不适用</w:t>
      </w:r>
    </w:p>
    <w:p w:rsidR="00446D59" w:rsidRDefault="00270E4E" w:rsidP="00BD7D4B">
      <w:pPr>
        <w:spacing w:before="100" w:after="10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公司计划不派发现金红利，不送红股，不以公积金转增股本。</w:t>
      </w:r>
      <w:bookmarkStart w:id="1" w:name="_GoBack"/>
      <w:bookmarkEnd w:id="1"/>
    </w:p>
    <w:p w:rsidR="00446D59" w:rsidRDefault="00270E4E" w:rsidP="00BD7D4B">
      <w:pPr>
        <w:spacing w:before="100" w:after="10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董事会决议通过的本报告期优先股利润分配预案</w:t>
      </w:r>
    </w:p>
    <w:p w:rsidR="00446D59" w:rsidRDefault="00270E4E" w:rsidP="00BD7D4B">
      <w:pPr>
        <w:spacing w:before="100" w:after="10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 xml:space="preserve">□适用 </w:t>
      </w:r>
      <w:r>
        <w:rPr>
          <w:rFonts w:ascii="宋体" w:eastAsia="宋体" w:hAnsi="宋体" w:cs="宋体"/>
          <w:sz w:val="18"/>
          <w:szCs w:val="18"/>
        </w:rPr>
        <w:sym w:font="Wingdings 2" w:char="F052"/>
      </w:r>
      <w:r>
        <w:rPr>
          <w:rFonts w:ascii="宋体" w:eastAsia="宋体" w:hAnsi="宋体" w:cs="宋体"/>
          <w:sz w:val="18"/>
          <w:szCs w:val="18"/>
        </w:rPr>
        <w:t>不适用</w:t>
      </w:r>
    </w:p>
    <w:p w:rsidR="00446D59" w:rsidRDefault="00270E4E">
      <w:pPr>
        <w:pStyle w:val="2"/>
        <w:spacing w:before="300" w:after="300" w:line="320" w:lineRule="exact"/>
        <w:rPr>
          <w:rFonts w:ascii="宋体" w:eastAsia="宋体" w:hAnsi="宋体" w:cs="宋体"/>
          <w:b/>
          <w:bCs/>
          <w:sz w:val="24"/>
          <w:szCs w:val="24"/>
        </w:rPr>
      </w:pPr>
      <w:bookmarkStart w:id="2" w:name="_Toc988890"/>
      <w:r>
        <w:rPr>
          <w:rFonts w:ascii="宋体" w:eastAsia="宋体" w:hAnsi="宋体" w:cs="宋体"/>
          <w:b/>
          <w:bCs/>
          <w:sz w:val="24"/>
          <w:szCs w:val="24"/>
        </w:rPr>
        <w:t>二、公司基本情况</w:t>
      </w:r>
      <w:bookmarkEnd w:id="2"/>
    </w:p>
    <w:p w:rsidR="00446D59" w:rsidRDefault="00270E4E">
      <w:pPr>
        <w:pStyle w:val="3"/>
        <w:spacing w:line="280" w:lineRule="exact"/>
        <w:jc w:val="left"/>
        <w:rPr>
          <w:rFonts w:ascii="宋体" w:hAnsi="宋体" w:cs="宋体"/>
          <w:b/>
          <w:bCs/>
        </w:rPr>
      </w:pPr>
      <w:bookmarkStart w:id="3" w:name="_Toc988891"/>
      <w:r>
        <w:rPr>
          <w:rFonts w:ascii="宋体" w:hAnsi="宋体" w:cs="宋体"/>
          <w:b/>
          <w:bCs/>
        </w:rPr>
        <w:t>1、公司简介</w:t>
      </w:r>
      <w:bookmarkEnd w:id="3"/>
    </w:p>
    <w:tbl>
      <w:tblPr>
        <w:tblW w:w="9639" w:type="dxa"/>
        <w:tblInd w:w="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2142"/>
        <w:gridCol w:w="1071"/>
        <w:gridCol w:w="1071"/>
        <w:gridCol w:w="2142"/>
      </w:tblGrid>
      <w:tr w:rsidR="00446D59">
        <w:trPr>
          <w:trHeight w:val="240"/>
        </w:trPr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股票简称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甘化科工</w:t>
            </w:r>
          </w:p>
        </w:tc>
        <w:tc>
          <w:tcPr>
            <w:tcW w:w="2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股票代码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000576</w:t>
            </w:r>
          </w:p>
        </w:tc>
      </w:tr>
      <w:tr w:rsidR="00446D59">
        <w:trPr>
          <w:trHeight w:val="240"/>
        </w:trPr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股票上市交易所</w:t>
            </w:r>
          </w:p>
        </w:tc>
        <w:tc>
          <w:tcPr>
            <w:tcW w:w="6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深圳证券交易所</w:t>
            </w:r>
          </w:p>
        </w:tc>
      </w:tr>
      <w:tr w:rsidR="00446D59">
        <w:trPr>
          <w:trHeight w:val="240"/>
        </w:trPr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联系人和联系方式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董事会秘书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证券事务代表</w:t>
            </w:r>
          </w:p>
        </w:tc>
      </w:tr>
      <w:tr w:rsidR="00446D59">
        <w:trPr>
          <w:trHeight w:val="240"/>
        </w:trPr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陈波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龚健鹏</w:t>
            </w:r>
          </w:p>
        </w:tc>
      </w:tr>
      <w:tr w:rsidR="00446D59">
        <w:trPr>
          <w:trHeight w:val="240"/>
        </w:trPr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办公地址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广东省江门市甘化路62号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广东省江门市甘化路62号</w:t>
            </w:r>
          </w:p>
        </w:tc>
      </w:tr>
      <w:tr w:rsidR="00446D59">
        <w:trPr>
          <w:trHeight w:val="240"/>
        </w:trPr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电话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（0750）3277650、3277651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（0750）3277651、3277650</w:t>
            </w:r>
          </w:p>
        </w:tc>
      </w:tr>
      <w:tr w:rsidR="00446D59">
        <w:trPr>
          <w:trHeight w:val="240"/>
        </w:trPr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电子信箱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cb@gdganhua.com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gjp@gdganhua.com</w:t>
            </w:r>
          </w:p>
        </w:tc>
      </w:tr>
    </w:tbl>
    <w:p w:rsidR="00446D59" w:rsidRDefault="00270E4E">
      <w:pPr>
        <w:pStyle w:val="3"/>
        <w:spacing w:line="280" w:lineRule="exact"/>
        <w:jc w:val="left"/>
        <w:rPr>
          <w:rFonts w:ascii="宋体" w:hAnsi="宋体" w:cs="宋体"/>
          <w:b/>
          <w:bCs/>
        </w:rPr>
      </w:pPr>
      <w:bookmarkStart w:id="4" w:name="_Toc988892"/>
      <w:r>
        <w:rPr>
          <w:rFonts w:ascii="宋体" w:hAnsi="宋体" w:cs="宋体"/>
          <w:b/>
          <w:bCs/>
        </w:rPr>
        <w:t>2、主要会计数据和财务指标</w:t>
      </w:r>
      <w:bookmarkEnd w:id="4"/>
    </w:p>
    <w:p w:rsidR="00446D59" w:rsidRDefault="00270E4E" w:rsidP="00BD7D4B">
      <w:pPr>
        <w:spacing w:before="100" w:after="10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公司是否需追溯调整或重述以前年度会计数据</w:t>
      </w:r>
    </w:p>
    <w:p w:rsidR="00446D59" w:rsidRDefault="00270E4E" w:rsidP="00BD7D4B">
      <w:pPr>
        <w:spacing w:before="100" w:after="10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 xml:space="preserve">□是 </w:t>
      </w:r>
      <w:r>
        <w:rPr>
          <w:rFonts w:ascii="宋体" w:eastAsia="宋体" w:hAnsi="宋体" w:cs="宋体"/>
          <w:sz w:val="18"/>
          <w:szCs w:val="18"/>
        </w:rPr>
        <w:sym w:font="Wingdings 2" w:char="F052"/>
      </w:r>
      <w:r>
        <w:rPr>
          <w:rFonts w:ascii="宋体" w:eastAsia="宋体" w:hAnsi="宋体" w:cs="宋体"/>
          <w:sz w:val="18"/>
          <w:szCs w:val="18"/>
        </w:rPr>
        <w:t>否</w:t>
      </w:r>
    </w:p>
    <w:tbl>
      <w:tblPr>
        <w:tblW w:w="9639" w:type="dxa"/>
        <w:tblInd w:w="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1928"/>
        <w:gridCol w:w="1928"/>
        <w:gridCol w:w="1928"/>
      </w:tblGrid>
      <w:tr w:rsidR="00446D59" w:rsidTr="00F406C9">
        <w:trPr>
          <w:trHeight w:val="240"/>
        </w:trPr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446D59"/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本报告期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上年同期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本报告期比上年同期增减</w:t>
            </w:r>
          </w:p>
        </w:tc>
      </w:tr>
      <w:tr w:rsidR="00446D59" w:rsidTr="00F406C9">
        <w:trPr>
          <w:trHeight w:val="240"/>
        </w:trPr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营业收入（元）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236,213,566.00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199,093,710.72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18.64%</w:t>
            </w:r>
          </w:p>
        </w:tc>
      </w:tr>
      <w:tr w:rsidR="00446D59" w:rsidTr="00F406C9">
        <w:trPr>
          <w:trHeight w:val="240"/>
        </w:trPr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归属于上市公司股东的净利润（元）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33,797,536.07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26,351,647.70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28.26%</w:t>
            </w:r>
          </w:p>
        </w:tc>
      </w:tr>
      <w:tr w:rsidR="00446D59" w:rsidTr="00F406C9">
        <w:trPr>
          <w:trHeight w:val="240"/>
        </w:trPr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归属于上市公司股东的扣除非经常性损益的净</w:t>
            </w:r>
            <w:r>
              <w:rPr>
                <w:rFonts w:ascii="宋体" w:eastAsia="宋体" w:hAnsi="宋体" w:cs="宋体"/>
                <w:sz w:val="18"/>
                <w:szCs w:val="18"/>
              </w:rPr>
              <w:lastRenderedPageBreak/>
              <w:t>利润（元）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lastRenderedPageBreak/>
              <w:t>1,282,982.16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16,536,897.55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-92.24%</w:t>
            </w:r>
          </w:p>
        </w:tc>
      </w:tr>
      <w:tr w:rsidR="00446D59" w:rsidTr="00F406C9">
        <w:trPr>
          <w:trHeight w:val="240"/>
        </w:trPr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lastRenderedPageBreak/>
              <w:t>经营活动产生的现金流量净额（元）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31,799,126.60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-17,767,726.60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278.97%</w:t>
            </w:r>
          </w:p>
        </w:tc>
      </w:tr>
      <w:tr w:rsidR="00446D59" w:rsidTr="00F406C9">
        <w:trPr>
          <w:trHeight w:val="240"/>
        </w:trPr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基本每股收益（元/股）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0.08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0.06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33.33%</w:t>
            </w:r>
          </w:p>
        </w:tc>
      </w:tr>
      <w:tr w:rsidR="00446D59" w:rsidTr="00F406C9">
        <w:trPr>
          <w:trHeight w:val="240"/>
        </w:trPr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稀释每股收益（元/股）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0.08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0.06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33.33%</w:t>
            </w:r>
          </w:p>
        </w:tc>
      </w:tr>
      <w:tr w:rsidR="00446D59" w:rsidTr="00F406C9">
        <w:trPr>
          <w:trHeight w:val="240"/>
        </w:trPr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加权平均净资产收益率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2.09%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1.63%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0.46%</w:t>
            </w:r>
          </w:p>
        </w:tc>
      </w:tr>
      <w:tr w:rsidR="00446D59" w:rsidTr="00F406C9">
        <w:trPr>
          <w:trHeight w:val="240"/>
        </w:trPr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446D59"/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本报告期末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上年度末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>
            <w:pPr>
              <w:spacing w:before="40" w:after="40"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本报告期末比上年度末增减</w:t>
            </w:r>
          </w:p>
        </w:tc>
      </w:tr>
      <w:tr w:rsidR="00F406C9" w:rsidTr="00F406C9">
        <w:trPr>
          <w:trHeight w:val="240"/>
        </w:trPr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F406C9" w:rsidRDefault="00F406C9" w:rsidP="00F406C9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总资产（元）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6C9" w:rsidRPr="00996129" w:rsidRDefault="00F406C9" w:rsidP="00F406C9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996129">
              <w:rPr>
                <w:rFonts w:ascii="宋体" w:eastAsia="宋体" w:hAnsi="宋体" w:cs="宋体"/>
                <w:sz w:val="18"/>
                <w:szCs w:val="18"/>
              </w:rPr>
              <w:t>1,872,171,538.60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6C9" w:rsidRPr="00996129" w:rsidRDefault="00F406C9" w:rsidP="00F406C9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996129">
              <w:rPr>
                <w:rFonts w:ascii="宋体" w:eastAsia="宋体" w:hAnsi="宋体" w:cs="宋体"/>
                <w:sz w:val="18"/>
                <w:szCs w:val="18"/>
              </w:rPr>
              <w:t>1,844,340,893.78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6C9" w:rsidRPr="00996129" w:rsidRDefault="00F406C9" w:rsidP="00F406C9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996129">
              <w:rPr>
                <w:rFonts w:ascii="宋体" w:eastAsia="宋体" w:hAnsi="宋体" w:cs="宋体"/>
                <w:sz w:val="18"/>
                <w:szCs w:val="18"/>
              </w:rPr>
              <w:t>1.51%</w:t>
            </w:r>
          </w:p>
        </w:tc>
      </w:tr>
      <w:tr w:rsidR="00F406C9" w:rsidTr="00F406C9">
        <w:trPr>
          <w:trHeight w:val="240"/>
        </w:trPr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F406C9" w:rsidRDefault="00F406C9" w:rsidP="00F406C9">
            <w:pPr>
              <w:spacing w:before="40" w:after="4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归属于上市公司股东的净资产（元）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6C9" w:rsidRPr="00996129" w:rsidRDefault="00F406C9" w:rsidP="00F406C9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996129">
              <w:rPr>
                <w:rFonts w:ascii="宋体" w:eastAsia="宋体" w:hAnsi="宋体" w:cs="宋体"/>
                <w:sz w:val="18"/>
                <w:szCs w:val="18"/>
              </w:rPr>
              <w:t>1,618,907,531.84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6C9" w:rsidRPr="00996129" w:rsidRDefault="00F406C9" w:rsidP="00F406C9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996129">
              <w:rPr>
                <w:rFonts w:ascii="宋体" w:eastAsia="宋体" w:hAnsi="宋体" w:cs="宋体"/>
                <w:sz w:val="18"/>
                <w:szCs w:val="18"/>
              </w:rPr>
              <w:t>1,612,340,099.58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6C9" w:rsidRPr="00996129" w:rsidRDefault="00F406C9" w:rsidP="00F406C9">
            <w:pPr>
              <w:spacing w:line="24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996129">
              <w:rPr>
                <w:rFonts w:ascii="宋体" w:eastAsia="宋体" w:hAnsi="宋体" w:cs="宋体"/>
                <w:sz w:val="18"/>
                <w:szCs w:val="18"/>
              </w:rPr>
              <w:t>0.41%</w:t>
            </w:r>
          </w:p>
        </w:tc>
      </w:tr>
    </w:tbl>
    <w:p w:rsidR="00446D59" w:rsidRDefault="00270E4E">
      <w:pPr>
        <w:pStyle w:val="3"/>
        <w:spacing w:line="280" w:lineRule="exact"/>
        <w:jc w:val="left"/>
        <w:rPr>
          <w:rFonts w:ascii="宋体" w:hAnsi="宋体" w:cs="宋体"/>
          <w:b/>
          <w:bCs/>
        </w:rPr>
      </w:pPr>
      <w:bookmarkStart w:id="5" w:name="_Toc988893"/>
      <w:r>
        <w:rPr>
          <w:rFonts w:ascii="宋体" w:hAnsi="宋体" w:cs="宋体"/>
          <w:b/>
          <w:bCs/>
        </w:rPr>
        <w:t>3、公司股东数量及持股情况</w:t>
      </w:r>
      <w:bookmarkEnd w:id="5"/>
    </w:p>
    <w:p w:rsidR="00446D59" w:rsidRDefault="00270E4E">
      <w:pPr>
        <w:spacing w:before="120" w:after="120" w:line="240" w:lineRule="exact"/>
        <w:jc w:val="righ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单位：股</w:t>
      </w:r>
    </w:p>
    <w:tbl>
      <w:tblPr>
        <w:tblW w:w="9639" w:type="dxa"/>
        <w:tblInd w:w="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992"/>
        <w:gridCol w:w="1418"/>
        <w:gridCol w:w="1275"/>
        <w:gridCol w:w="1134"/>
        <w:gridCol w:w="1134"/>
      </w:tblGrid>
      <w:tr w:rsidR="00446D59" w:rsidTr="00BD7D4B">
        <w:trPr>
          <w:trHeight w:val="240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 w:rsidP="00480861">
            <w:pPr>
              <w:spacing w:before="40" w:after="40"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报告期末普通股股东总数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55,922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 w:rsidP="00480861">
            <w:pPr>
              <w:spacing w:before="40" w:after="40"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报告期末表决权恢复的优先股股东总数（如有）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446D59" w:rsidTr="00BD7D4B">
        <w:trPr>
          <w:trHeight w:val="408"/>
        </w:trPr>
        <w:tc>
          <w:tcPr>
            <w:tcW w:w="963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 w:rsidP="00480861">
            <w:pPr>
              <w:spacing w:before="40" w:after="40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前10名股东持股情况（不含通过转融通出借股份）</w:t>
            </w:r>
          </w:p>
        </w:tc>
      </w:tr>
      <w:tr w:rsidR="00446D59" w:rsidTr="00BD7D4B">
        <w:trPr>
          <w:trHeight w:val="240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 w:rsidP="00480861">
            <w:pPr>
              <w:spacing w:before="40" w:after="40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股东名称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 w:rsidP="00480861">
            <w:pPr>
              <w:spacing w:before="40" w:after="40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股东性质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 w:rsidP="00480861">
            <w:pPr>
              <w:spacing w:before="40" w:after="40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持股比例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 w:rsidP="00480861">
            <w:pPr>
              <w:spacing w:before="40" w:after="40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持股数量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 w:rsidP="00480861">
            <w:pPr>
              <w:spacing w:before="40" w:after="40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持有有限售条件的股份数量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 w:rsidP="00480861">
            <w:pPr>
              <w:spacing w:before="40" w:after="40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质押、标记或冻结情况</w:t>
            </w:r>
          </w:p>
        </w:tc>
      </w:tr>
      <w:tr w:rsidR="00BD7D4B" w:rsidTr="00BD7D4B">
        <w:trPr>
          <w:trHeight w:val="240"/>
        </w:trPr>
        <w:tc>
          <w:tcPr>
            <w:tcW w:w="21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446D59" w:rsidP="00480861">
            <w:pPr>
              <w:spacing w:line="280" w:lineRule="exact"/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446D59" w:rsidP="00480861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446D59" w:rsidP="00480861">
            <w:pPr>
              <w:spacing w:line="280" w:lineRule="exact"/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446D59" w:rsidP="00480861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446D59" w:rsidP="00480861">
            <w:pPr>
              <w:spacing w:line="280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 w:rsidP="00480861">
            <w:pPr>
              <w:spacing w:before="40" w:after="40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股份状态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 w:rsidP="00480861">
            <w:pPr>
              <w:spacing w:before="40" w:after="40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数量</w:t>
            </w:r>
          </w:p>
        </w:tc>
      </w:tr>
      <w:tr w:rsidR="00446D59" w:rsidTr="00BD7D4B">
        <w:trPr>
          <w:trHeight w:val="435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德力西集团有限公司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境内非国有法人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35.77%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156,087,400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质押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40,000,000</w:t>
            </w:r>
          </w:p>
        </w:tc>
      </w:tr>
      <w:tr w:rsidR="00446D59" w:rsidTr="00BD7D4B">
        <w:trPr>
          <w:trHeight w:val="372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谢慧明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境内自然人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2.25%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9,800,000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不适用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446D59" w:rsidTr="00BD7D4B">
        <w:trPr>
          <w:trHeight w:val="845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上海银行股份有限公司－中欧产业前瞻混合型证券投资基金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其他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1.51%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6,600,000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不适用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446D59" w:rsidTr="00BD7D4B">
        <w:trPr>
          <w:trHeight w:val="402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胡成中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境内自然人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1.46%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6,350,000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不适用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446D59" w:rsidTr="00BD7D4B">
        <w:trPr>
          <w:trHeight w:val="420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费占军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境内自然人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0.64%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2,800,000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不适用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446D59" w:rsidTr="00BD7D4B">
        <w:trPr>
          <w:trHeight w:val="839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招商银行股份有限公司－中欧高端装备股票型发起式证券投资基金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其他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0.55%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2,390,000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不适用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446D59" w:rsidTr="00BD7D4B">
        <w:trPr>
          <w:trHeight w:val="86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建信基金－建设银行－中国人寿－中国人寿委托建信基金公司股票型组合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其他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0.49%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2,118,400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不适用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446D59" w:rsidTr="00BD7D4B">
        <w:trPr>
          <w:trHeight w:val="112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上海浦东发展银行股份有限公司－中欧景气前瞻一年持有期混合型证券投资基金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其他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0.35%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1,526,400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不适用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446D59" w:rsidTr="00BD7D4B">
        <w:trPr>
          <w:trHeight w:val="420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李仁刚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境内自然人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0.31%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1,349,192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不适用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446D59" w:rsidTr="00BD7D4B">
        <w:trPr>
          <w:trHeight w:val="423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潘庆丰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境内自然人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0.25%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1,080,000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不适用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446D59" w:rsidTr="00BD7D4B">
        <w:trPr>
          <w:trHeight w:val="240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 w:rsidP="00480861">
            <w:pPr>
              <w:spacing w:before="40" w:after="40"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上述股东关联关系或一致行动的说明</w:t>
            </w:r>
          </w:p>
        </w:tc>
        <w:tc>
          <w:tcPr>
            <w:tcW w:w="5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述股东中，胡成中为公司控股股东德力西集团有限公司实际控制人，与德力西集团有限公司为一致行动人；除此之外，公司未知其他股东之间是否存在关联关系，也未知其他股东是否属于《上市公司收购管理办法》中规定的一致行动人。</w:t>
            </w:r>
          </w:p>
        </w:tc>
      </w:tr>
      <w:tr w:rsidR="00446D59" w:rsidTr="00BD7D4B">
        <w:trPr>
          <w:trHeight w:val="240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vAlign w:val="center"/>
          </w:tcPr>
          <w:p w:rsidR="00446D59" w:rsidRDefault="00270E4E" w:rsidP="00480861">
            <w:pPr>
              <w:spacing w:before="40" w:after="40"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lastRenderedPageBreak/>
              <w:t>参与融资融券业务股东情况说明（如有）</w:t>
            </w:r>
          </w:p>
        </w:tc>
        <w:tc>
          <w:tcPr>
            <w:tcW w:w="5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D59" w:rsidRDefault="00270E4E" w:rsidP="00480861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前10名公司股东中，德力西集团有限公司通过普通证券账户持有121,087,400 股,通过财通证券股份有限公司客户信用交易担保证券账户持有35,000,000股，实际合计持有156,087,400股；谢慧明通过普通证券账户持有0股，通过西南证券股份有限公司客户信用交易担保证券账户持有9,800,000股，实际合计持有9,800,000股；李仁刚通过普通证券账户持有0股，通过中信建投证券股份有限公司客户信用交易担保证券账户持有1,349,192股，实际合计持有1,349,192股。</w:t>
            </w:r>
          </w:p>
        </w:tc>
      </w:tr>
    </w:tbl>
    <w:p w:rsidR="00446D59" w:rsidRDefault="00270E4E" w:rsidP="00BD7D4B">
      <w:pPr>
        <w:spacing w:before="100" w:after="10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持股5%以上股东、前10名股东及前10名无限售流通股股东参与转融通业务出借股份情况</w:t>
      </w:r>
    </w:p>
    <w:p w:rsidR="00446D59" w:rsidRDefault="00270E4E" w:rsidP="00BD7D4B">
      <w:pPr>
        <w:spacing w:before="100" w:after="10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 xml:space="preserve">□适用 </w:t>
      </w:r>
      <w:r>
        <w:rPr>
          <w:rFonts w:ascii="宋体" w:eastAsia="宋体" w:hAnsi="宋体" w:cs="宋体"/>
          <w:sz w:val="18"/>
          <w:szCs w:val="18"/>
        </w:rPr>
        <w:sym w:font="Wingdings 2" w:char="F052"/>
      </w:r>
      <w:r>
        <w:rPr>
          <w:rFonts w:ascii="宋体" w:eastAsia="宋体" w:hAnsi="宋体" w:cs="宋体"/>
          <w:sz w:val="18"/>
          <w:szCs w:val="18"/>
        </w:rPr>
        <w:t>不适用</w:t>
      </w:r>
    </w:p>
    <w:p w:rsidR="00446D59" w:rsidRDefault="00270E4E" w:rsidP="00BD7D4B">
      <w:pPr>
        <w:spacing w:before="100" w:after="10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前10名股东及前10名无限售流通股股东因转融通出借/归还原因导致较上期发生变化</w:t>
      </w:r>
    </w:p>
    <w:p w:rsidR="00446D59" w:rsidRDefault="00270E4E" w:rsidP="00BD7D4B">
      <w:pPr>
        <w:spacing w:before="100" w:after="10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 xml:space="preserve">□适用 </w:t>
      </w:r>
      <w:r>
        <w:rPr>
          <w:rFonts w:ascii="宋体" w:eastAsia="宋体" w:hAnsi="宋体" w:cs="宋体"/>
          <w:sz w:val="18"/>
          <w:szCs w:val="18"/>
        </w:rPr>
        <w:sym w:font="Wingdings 2" w:char="F052"/>
      </w:r>
      <w:r>
        <w:rPr>
          <w:rFonts w:ascii="宋体" w:eastAsia="宋体" w:hAnsi="宋体" w:cs="宋体"/>
          <w:sz w:val="18"/>
          <w:szCs w:val="18"/>
        </w:rPr>
        <w:t>不适用</w:t>
      </w:r>
    </w:p>
    <w:p w:rsidR="00446D59" w:rsidRDefault="00270E4E">
      <w:pPr>
        <w:pStyle w:val="3"/>
        <w:spacing w:line="280" w:lineRule="exact"/>
        <w:jc w:val="left"/>
        <w:rPr>
          <w:rFonts w:ascii="宋体" w:hAnsi="宋体" w:cs="宋体"/>
          <w:b/>
          <w:bCs/>
        </w:rPr>
      </w:pPr>
      <w:bookmarkStart w:id="6" w:name="_Toc988894"/>
      <w:r>
        <w:rPr>
          <w:rFonts w:ascii="宋体" w:hAnsi="宋体" w:cs="宋体"/>
          <w:b/>
          <w:bCs/>
        </w:rPr>
        <w:t>4、控股股东或实际控制人变更情况</w:t>
      </w:r>
      <w:bookmarkEnd w:id="6"/>
    </w:p>
    <w:p w:rsidR="00446D59" w:rsidRDefault="00270E4E" w:rsidP="00BD7D4B">
      <w:pPr>
        <w:spacing w:before="40" w:after="4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控股股东报告期内变更</w:t>
      </w:r>
    </w:p>
    <w:p w:rsidR="00446D59" w:rsidRDefault="00270E4E" w:rsidP="00BD7D4B">
      <w:pPr>
        <w:spacing w:before="40" w:after="4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 xml:space="preserve">□适用 </w:t>
      </w:r>
      <w:r>
        <w:rPr>
          <w:rFonts w:ascii="宋体" w:eastAsia="宋体" w:hAnsi="宋体" w:cs="宋体"/>
          <w:sz w:val="18"/>
          <w:szCs w:val="18"/>
        </w:rPr>
        <w:sym w:font="Wingdings 2" w:char="F052"/>
      </w:r>
      <w:r>
        <w:rPr>
          <w:rFonts w:ascii="宋体" w:eastAsia="宋体" w:hAnsi="宋体" w:cs="宋体"/>
          <w:sz w:val="18"/>
          <w:szCs w:val="18"/>
        </w:rPr>
        <w:t>不适用</w:t>
      </w:r>
    </w:p>
    <w:p w:rsidR="00446D59" w:rsidRDefault="00270E4E" w:rsidP="00BD7D4B">
      <w:pPr>
        <w:spacing w:before="40" w:after="4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公司报告期控股股东未发生变更。</w:t>
      </w:r>
    </w:p>
    <w:p w:rsidR="00446D59" w:rsidRDefault="00270E4E" w:rsidP="00BD7D4B">
      <w:pPr>
        <w:spacing w:before="100" w:after="10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实际控制人报告期内变更</w:t>
      </w:r>
    </w:p>
    <w:p w:rsidR="00446D59" w:rsidRDefault="00270E4E" w:rsidP="00BD7D4B">
      <w:pPr>
        <w:spacing w:before="40" w:after="4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 xml:space="preserve">□适用 </w:t>
      </w:r>
      <w:r>
        <w:rPr>
          <w:rFonts w:ascii="宋体" w:eastAsia="宋体" w:hAnsi="宋体" w:cs="宋体"/>
          <w:sz w:val="18"/>
          <w:szCs w:val="18"/>
        </w:rPr>
        <w:sym w:font="Wingdings 2" w:char="F052"/>
      </w:r>
      <w:r>
        <w:rPr>
          <w:rFonts w:ascii="宋体" w:eastAsia="宋体" w:hAnsi="宋体" w:cs="宋体"/>
          <w:sz w:val="18"/>
          <w:szCs w:val="18"/>
        </w:rPr>
        <w:t>不适用</w:t>
      </w:r>
    </w:p>
    <w:p w:rsidR="00446D59" w:rsidRDefault="00270E4E" w:rsidP="00BD7D4B">
      <w:pPr>
        <w:spacing w:before="40" w:after="4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公司报告期实际控制人未发生变更。</w:t>
      </w:r>
    </w:p>
    <w:p w:rsidR="00446D59" w:rsidRDefault="00270E4E">
      <w:pPr>
        <w:pStyle w:val="3"/>
        <w:spacing w:line="280" w:lineRule="exact"/>
        <w:jc w:val="left"/>
        <w:rPr>
          <w:rFonts w:ascii="宋体" w:hAnsi="宋体" w:cs="宋体"/>
          <w:b/>
          <w:bCs/>
        </w:rPr>
      </w:pPr>
      <w:bookmarkStart w:id="7" w:name="_Toc988895"/>
      <w:r>
        <w:rPr>
          <w:rFonts w:ascii="宋体" w:hAnsi="宋体" w:cs="宋体"/>
          <w:b/>
          <w:bCs/>
        </w:rPr>
        <w:t>5、公司优先股股东总数及前10名优先股股东持股情况表</w:t>
      </w:r>
      <w:bookmarkEnd w:id="7"/>
    </w:p>
    <w:p w:rsidR="00446D59" w:rsidRDefault="00270E4E" w:rsidP="00BD7D4B">
      <w:pPr>
        <w:spacing w:before="100" w:after="10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 xml:space="preserve">□适用 </w:t>
      </w:r>
      <w:r>
        <w:rPr>
          <w:rFonts w:ascii="宋体" w:eastAsia="宋体" w:hAnsi="宋体" w:cs="宋体"/>
          <w:sz w:val="18"/>
          <w:szCs w:val="18"/>
        </w:rPr>
        <w:sym w:font="Wingdings 2" w:char="F052"/>
      </w:r>
      <w:r>
        <w:rPr>
          <w:rFonts w:ascii="宋体" w:eastAsia="宋体" w:hAnsi="宋体" w:cs="宋体"/>
          <w:sz w:val="18"/>
          <w:szCs w:val="18"/>
        </w:rPr>
        <w:t>不适用</w:t>
      </w:r>
    </w:p>
    <w:p w:rsidR="00446D59" w:rsidRDefault="00270E4E" w:rsidP="00BD7D4B">
      <w:pPr>
        <w:spacing w:before="100" w:after="100" w:line="32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公司报告期无优先股股东持股情况。</w:t>
      </w:r>
    </w:p>
    <w:p w:rsidR="00446D59" w:rsidRDefault="00270E4E">
      <w:pPr>
        <w:pStyle w:val="3"/>
        <w:spacing w:line="280" w:lineRule="exact"/>
        <w:jc w:val="left"/>
        <w:rPr>
          <w:rFonts w:ascii="宋体" w:hAnsi="宋体" w:cs="宋体"/>
          <w:b/>
          <w:bCs/>
        </w:rPr>
      </w:pPr>
      <w:bookmarkStart w:id="8" w:name="_Toc988896"/>
      <w:r>
        <w:rPr>
          <w:rFonts w:ascii="宋体" w:hAnsi="宋体" w:cs="宋体"/>
          <w:b/>
          <w:bCs/>
        </w:rPr>
        <w:t>6、在半年度报告批准报出日存续的债券情况</w:t>
      </w:r>
      <w:bookmarkEnd w:id="8"/>
    </w:p>
    <w:p w:rsidR="00446D59" w:rsidRDefault="00270E4E">
      <w:pPr>
        <w:spacing w:before="40" w:after="40"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 xml:space="preserve">□适用 </w:t>
      </w:r>
      <w:r>
        <w:rPr>
          <w:rFonts w:ascii="宋体" w:eastAsia="宋体" w:hAnsi="宋体" w:cs="宋体"/>
          <w:sz w:val="18"/>
          <w:szCs w:val="18"/>
        </w:rPr>
        <w:sym w:font="Wingdings 2" w:char="F052"/>
      </w:r>
      <w:r>
        <w:rPr>
          <w:rFonts w:ascii="宋体" w:eastAsia="宋体" w:hAnsi="宋体" w:cs="宋体"/>
          <w:sz w:val="18"/>
          <w:szCs w:val="18"/>
        </w:rPr>
        <w:t>不适用</w:t>
      </w:r>
    </w:p>
    <w:p w:rsidR="00446D59" w:rsidRDefault="00270E4E">
      <w:pPr>
        <w:pStyle w:val="2"/>
        <w:spacing w:before="300" w:after="300" w:line="320" w:lineRule="exact"/>
        <w:rPr>
          <w:rFonts w:ascii="宋体" w:eastAsia="宋体" w:hAnsi="宋体" w:cs="宋体"/>
          <w:b/>
          <w:bCs/>
          <w:sz w:val="24"/>
          <w:szCs w:val="24"/>
        </w:rPr>
      </w:pPr>
      <w:bookmarkStart w:id="9" w:name="_Toc988897"/>
      <w:r>
        <w:rPr>
          <w:rFonts w:ascii="宋体" w:eastAsia="宋体" w:hAnsi="宋体" w:cs="宋体"/>
          <w:b/>
          <w:bCs/>
          <w:sz w:val="24"/>
          <w:szCs w:val="24"/>
        </w:rPr>
        <w:t>三、重要事项</w:t>
      </w:r>
      <w:bookmarkEnd w:id="9"/>
    </w:p>
    <w:p w:rsidR="009F0AE7" w:rsidRPr="00EB67EA" w:rsidRDefault="00270E4E" w:rsidP="00EB67EA">
      <w:pPr>
        <w:spacing w:before="100" w:after="100" w:line="400" w:lineRule="exact"/>
        <w:ind w:firstLineChars="200" w:firstLine="420"/>
        <w:divId w:val="1297876080"/>
        <w:rPr>
          <w:rFonts w:ascii="宋体" w:eastAsia="宋体" w:hAnsi="宋体" w:cs="宋体"/>
          <w:szCs w:val="21"/>
        </w:rPr>
      </w:pPr>
      <w:r w:rsidRPr="00EB67EA">
        <w:rPr>
          <w:rFonts w:ascii="宋体" w:eastAsia="宋体" w:hAnsi="宋体" w:cs="宋体" w:hint="eastAsia"/>
          <w:szCs w:val="21"/>
        </w:rPr>
        <w:t>详见公司同日在巨潮资讯网（http://www.cninfo.com.cn）刊登的《2025年半年度报告》“第五节 重要事项”之“十三、其他重大事项的说明”。</w:t>
      </w:r>
    </w:p>
    <w:p w:rsidR="00BD7D4B" w:rsidRDefault="00BD7D4B" w:rsidP="00BD7D4B">
      <w:pPr>
        <w:autoSpaceDE w:val="0"/>
        <w:autoSpaceDN w:val="0"/>
        <w:adjustRightInd w:val="0"/>
        <w:ind w:firstLineChars="500" w:firstLine="1205"/>
        <w:divId w:val="1297876080"/>
        <w:rPr>
          <w:rFonts w:ascii="宋体" w:eastAsia="宋体" w:hAnsi="宋体" w:cs="宋体"/>
          <w:b/>
          <w:kern w:val="0"/>
          <w:sz w:val="24"/>
          <w:szCs w:val="24"/>
          <w:lang w:val="zh-CN"/>
        </w:rPr>
      </w:pPr>
    </w:p>
    <w:p w:rsidR="00EB67EA" w:rsidRDefault="00EB67EA" w:rsidP="00BD7D4B">
      <w:pPr>
        <w:autoSpaceDE w:val="0"/>
        <w:autoSpaceDN w:val="0"/>
        <w:adjustRightInd w:val="0"/>
        <w:ind w:firstLineChars="500" w:firstLine="1205"/>
        <w:divId w:val="1297876080"/>
        <w:rPr>
          <w:rFonts w:ascii="宋体" w:eastAsia="宋体" w:hAnsi="宋体" w:cs="宋体"/>
          <w:b/>
          <w:kern w:val="0"/>
          <w:sz w:val="24"/>
          <w:szCs w:val="24"/>
          <w:lang w:val="zh-CN"/>
        </w:rPr>
      </w:pPr>
    </w:p>
    <w:p w:rsidR="00BD7D4B" w:rsidRDefault="00BD7D4B" w:rsidP="00BD7D4B">
      <w:pPr>
        <w:autoSpaceDE w:val="0"/>
        <w:autoSpaceDN w:val="0"/>
        <w:adjustRightInd w:val="0"/>
        <w:ind w:firstLineChars="500" w:firstLine="1205"/>
        <w:divId w:val="1297876080"/>
        <w:rPr>
          <w:rFonts w:ascii="仿宋" w:eastAsia="仿宋" w:hAnsi="仿宋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法定代表人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="00247E83" w:rsidRPr="00247E83">
        <w:rPr>
          <w:rFonts w:ascii="宋体" w:eastAsia="宋体" w:hAnsi="宋体" w:cs="宋体" w:hint="eastAsia"/>
          <w:kern w:val="0"/>
          <w:sz w:val="24"/>
          <w:szCs w:val="24"/>
        </w:rPr>
        <w:t xml:space="preserve">李 </w:t>
      </w:r>
      <w:r w:rsidR="00247E83" w:rsidRPr="00247E8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247E83" w:rsidRPr="00247E83">
        <w:rPr>
          <w:rFonts w:ascii="宋体" w:eastAsia="宋体" w:hAnsi="宋体" w:cs="宋体" w:hint="eastAsia"/>
          <w:kern w:val="0"/>
          <w:sz w:val="24"/>
          <w:szCs w:val="24"/>
        </w:rPr>
        <w:t>忠</w:t>
      </w:r>
      <w:r w:rsidRPr="00247E83">
        <w:rPr>
          <w:rFonts w:ascii="仿宋" w:eastAsia="仿宋" w:hAnsi="仿宋" w:hint="eastAsia"/>
          <w:kern w:val="0"/>
          <w:sz w:val="28"/>
          <w:szCs w:val="28"/>
        </w:rPr>
        <w:t xml:space="preserve"> </w:t>
      </w:r>
    </w:p>
    <w:p w:rsidR="00480861" w:rsidRDefault="00480861" w:rsidP="00BD7D4B">
      <w:pPr>
        <w:autoSpaceDE w:val="0"/>
        <w:autoSpaceDN w:val="0"/>
        <w:adjustRightInd w:val="0"/>
        <w:ind w:firstLineChars="500" w:firstLine="1400"/>
        <w:divId w:val="1297876080"/>
        <w:rPr>
          <w:rFonts w:ascii="宋体" w:eastAsia="宋体" w:hAnsi="宋体"/>
          <w:kern w:val="0"/>
          <w:sz w:val="28"/>
          <w:szCs w:val="28"/>
        </w:rPr>
      </w:pPr>
    </w:p>
    <w:p w:rsidR="00BD7D4B" w:rsidRDefault="00BD7D4B" w:rsidP="00BD7D4B">
      <w:pPr>
        <w:spacing w:before="100" w:after="100" w:line="360" w:lineRule="auto"/>
        <w:jc w:val="right"/>
        <w:divId w:val="12978760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广东甘化科工股份有限公司董事会</w:t>
      </w:r>
    </w:p>
    <w:p w:rsidR="00BD7D4B" w:rsidRPr="00BD7D4B" w:rsidRDefault="00BD7D4B" w:rsidP="00BD7D4B">
      <w:pPr>
        <w:spacing w:before="100" w:after="100" w:line="360" w:lineRule="auto"/>
        <w:ind w:right="420"/>
        <w:jc w:val="right"/>
        <w:divId w:val="12978760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二〇二五年八月</w:t>
      </w:r>
      <w:r w:rsidR="00A6423E">
        <w:rPr>
          <w:rFonts w:ascii="宋体" w:eastAsia="宋体" w:hAnsi="宋体" w:cs="宋体" w:hint="eastAsia"/>
          <w:szCs w:val="21"/>
        </w:rPr>
        <w:t>三十</w:t>
      </w:r>
      <w:r>
        <w:rPr>
          <w:rFonts w:ascii="宋体" w:eastAsia="宋体" w:hAnsi="宋体" w:cs="宋体" w:hint="eastAsia"/>
          <w:szCs w:val="21"/>
        </w:rPr>
        <w:t>日</w:t>
      </w:r>
    </w:p>
    <w:sectPr w:rsidR="00BD7D4B" w:rsidRPr="00BD7D4B">
      <w:headerReference w:type="default" r:id="rId6"/>
      <w:footerReference w:type="default" r:id="rId7"/>
      <w:pgSz w:w="11905" w:h="16840"/>
      <w:pgMar w:top="1440" w:right="1134" w:bottom="1440" w:left="1134" w:header="850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E1" w:rsidRDefault="00DA2DE1">
      <w:r>
        <w:separator/>
      </w:r>
    </w:p>
  </w:endnote>
  <w:endnote w:type="continuationSeparator" w:id="0">
    <w:p w:rsidR="00DA2DE1" w:rsidRDefault="00DA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0241525"/>
      <w:docPartObj>
        <w:docPartGallery w:val="Page Numbers (Bottom of Page)"/>
        <w:docPartUnique/>
      </w:docPartObj>
    </w:sdtPr>
    <w:sdtContent>
      <w:p w:rsidR="007D1AAA" w:rsidRDefault="007D1A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1AAA">
          <w:rPr>
            <w:noProof/>
            <w:lang w:val="zh-CN"/>
          </w:rPr>
          <w:t>3</w:t>
        </w:r>
        <w:r>
          <w:fldChar w:fldCharType="end"/>
        </w:r>
      </w:p>
    </w:sdtContent>
  </w:sdt>
  <w:p w:rsidR="00446D59" w:rsidRDefault="00446D59">
    <w:pPr>
      <w:pStyle w:val="fot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E1" w:rsidRDefault="00DA2DE1">
      <w:r>
        <w:separator/>
      </w:r>
    </w:p>
  </w:footnote>
  <w:footnote w:type="continuationSeparator" w:id="0">
    <w:p w:rsidR="00DA2DE1" w:rsidRDefault="00DA2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59" w:rsidRDefault="00270E4E">
    <w:pPr>
      <w:pStyle w:val="Header1"/>
      <w:pBdr>
        <w:bottom w:val="single" w:sz="6" w:space="1" w:color="auto"/>
      </w:pBdr>
    </w:pPr>
    <w:r>
      <w:t>广东甘化科工股份有限公司2025年半年度报告摘要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6D59"/>
    <w:rsid w:val="00047FD5"/>
    <w:rsid w:val="001D7D98"/>
    <w:rsid w:val="00247E83"/>
    <w:rsid w:val="00270E4E"/>
    <w:rsid w:val="002957E3"/>
    <w:rsid w:val="00345700"/>
    <w:rsid w:val="003D38CE"/>
    <w:rsid w:val="00446D59"/>
    <w:rsid w:val="00480861"/>
    <w:rsid w:val="00622353"/>
    <w:rsid w:val="007C5DB3"/>
    <w:rsid w:val="007D1AAA"/>
    <w:rsid w:val="008F7808"/>
    <w:rsid w:val="009F0AE7"/>
    <w:rsid w:val="00A6423E"/>
    <w:rsid w:val="00BD7D4B"/>
    <w:rsid w:val="00DA2DE1"/>
    <w:rsid w:val="00EB67EA"/>
    <w:rsid w:val="00F4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6E17EE-A67C-4883-907E-E8CF2D0B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56" w:after="156"/>
      <w:outlineLvl w:val="1"/>
    </w:pPr>
    <w:rPr>
      <w:szCs w:val="21"/>
    </w:rPr>
  </w:style>
  <w:style w:type="paragraph" w:styleId="3">
    <w:name w:val="heading 3"/>
    <w:basedOn w:val="a"/>
    <w:next w:val="a"/>
    <w:uiPriority w:val="99"/>
    <w:qFormat/>
    <w:rsid w:val="00B74129"/>
    <w:pPr>
      <w:keepNext/>
      <w:keepLines/>
      <w:spacing w:before="300" w:after="300" w:line="241" w:lineRule="auto"/>
      <w:jc w:val="both"/>
      <w:outlineLvl w:val="2"/>
    </w:pPr>
    <w:rPr>
      <w:rFonts w:eastAsia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1">
    <w:name w:val="Header 1"/>
    <w:pPr>
      <w:jc w:val="right"/>
    </w:pPr>
    <w:rPr>
      <w:rFonts w:ascii="宋体" w:eastAsia="宋体"/>
      <w:sz w:val="18"/>
      <w:szCs w:val="18"/>
    </w:rPr>
  </w:style>
  <w:style w:type="paragraph" w:customStyle="1" w:styleId="headingh1">
    <w:name w:val="heading h1"/>
    <w:basedOn w:val="a"/>
    <w:next w:val="a"/>
    <w:uiPriority w:val="9"/>
    <w:qFormat/>
    <w:pPr>
      <w:keepNext/>
      <w:keepLines/>
      <w:spacing w:before="240" w:after="240" w:line="578" w:lineRule="auto"/>
      <w:outlineLvl w:val="0"/>
    </w:pPr>
    <w:rPr>
      <w:kern w:val="44"/>
      <w:sz w:val="44"/>
      <w:szCs w:val="44"/>
    </w:rPr>
  </w:style>
  <w:style w:type="paragraph" w:customStyle="1" w:styleId="fotter1">
    <w:name w:val="fotter 1"/>
    <w:pPr>
      <w:jc w:val="right"/>
    </w:pPr>
    <w:rPr>
      <w:rFonts w:ascii="宋体" w:eastAsia="宋体"/>
      <w:sz w:val="18"/>
      <w:szCs w:val="18"/>
    </w:rPr>
  </w:style>
  <w:style w:type="paragraph" w:styleId="1">
    <w:name w:val="toc 1"/>
    <w:basedOn w:val="a"/>
    <w:next w:val="a"/>
    <w:autoRedefine/>
    <w:uiPriority w:val="39"/>
  </w:style>
  <w:style w:type="paragraph" w:styleId="20">
    <w:name w:val="toc 2"/>
    <w:basedOn w:val="a"/>
    <w:next w:val="a"/>
    <w:autoRedefine/>
    <w:uiPriority w:val="39"/>
    <w:unhideWhenUsed/>
    <w:pPr>
      <w:ind w:leftChars="200" w:left="420"/>
    </w:pPr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0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086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08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08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10</cp:revision>
  <dcterms:created xsi:type="dcterms:W3CDTF">2025-08-25T01:06:00Z</dcterms:created>
  <dcterms:modified xsi:type="dcterms:W3CDTF">2025-08-29T02:05:00Z</dcterms:modified>
</cp:coreProperties>
</file>